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FBDE7" w14:textId="7A64121E" w:rsidR="00A34B69" w:rsidRPr="0035247D" w:rsidRDefault="00A34B69" w:rsidP="00A34B69">
      <w:pPr>
        <w:pStyle w:val="3GPPHeader"/>
        <w:spacing w:after="60"/>
        <w:rPr>
          <w:sz w:val="32"/>
          <w:szCs w:val="32"/>
        </w:rPr>
      </w:pPr>
      <w:bookmarkStart w:id="0" w:name="OLE_LINK1"/>
      <w:bookmarkStart w:id="1" w:name="OLE_LINK2"/>
      <w:r w:rsidRPr="0035247D">
        <w:t>3GPP TSG-RAN WG2 #93bis</w:t>
      </w:r>
      <w:r w:rsidRPr="0035247D">
        <w:tab/>
      </w:r>
      <w:r w:rsidRPr="0035247D">
        <w:rPr>
          <w:sz w:val="32"/>
          <w:szCs w:val="32"/>
        </w:rPr>
        <w:t>Tdoc R2-16</w:t>
      </w:r>
      <w:r w:rsidR="0035247D" w:rsidRPr="0035247D">
        <w:rPr>
          <w:sz w:val="32"/>
          <w:szCs w:val="32"/>
        </w:rPr>
        <w:t>2756</w:t>
      </w:r>
    </w:p>
    <w:p w14:paraId="215534D7" w14:textId="77777777" w:rsidR="00A34B69" w:rsidRPr="003C0D1B" w:rsidRDefault="00A34B69" w:rsidP="00A34B69">
      <w:pPr>
        <w:pStyle w:val="3GPPHeader"/>
      </w:pPr>
      <w:r w:rsidRPr="003C0D1B">
        <w:t>Dubrovnik, Croatia, 11 – 15 April 2016</w:t>
      </w:r>
    </w:p>
    <w:p w14:paraId="5CD8E190" w14:textId="77777777" w:rsidR="00A34B69" w:rsidRPr="003C0D1B" w:rsidRDefault="00A34B69" w:rsidP="00A34B69">
      <w:pPr>
        <w:pStyle w:val="3GPPHeader"/>
      </w:pPr>
    </w:p>
    <w:p w14:paraId="075239C4" w14:textId="03947612" w:rsidR="00A34B69" w:rsidRPr="008F4AC5" w:rsidRDefault="00A34B69" w:rsidP="00A34B69">
      <w:pPr>
        <w:pStyle w:val="3GPPHeader"/>
        <w:rPr>
          <w:sz w:val="22"/>
          <w:lang w:val="en-US"/>
        </w:rPr>
      </w:pPr>
      <w:r w:rsidRPr="008F4AC5">
        <w:rPr>
          <w:sz w:val="22"/>
          <w:lang w:val="en-US"/>
        </w:rPr>
        <w:t>Agenda Item:</w:t>
      </w:r>
      <w:r w:rsidRPr="008F4AC5">
        <w:rPr>
          <w:sz w:val="22"/>
          <w:lang w:val="en-US"/>
        </w:rPr>
        <w:tab/>
      </w:r>
      <w:r w:rsidR="0035247D" w:rsidRPr="008F4AC5">
        <w:rPr>
          <w:sz w:val="22"/>
          <w:lang w:val="en-US"/>
        </w:rPr>
        <w:t>9.5.1</w:t>
      </w:r>
    </w:p>
    <w:p w14:paraId="787ECF9E" w14:textId="10CA94D2" w:rsidR="00A34B69" w:rsidRPr="00CE0424" w:rsidRDefault="00A34B69" w:rsidP="00A34B69">
      <w:pPr>
        <w:pStyle w:val="3GPPHeader"/>
        <w:tabs>
          <w:tab w:val="clear" w:pos="9639"/>
          <w:tab w:val="left" w:pos="3206"/>
        </w:tabs>
        <w:rPr>
          <w:sz w:val="22"/>
          <w:szCs w:val="22"/>
        </w:rPr>
      </w:pPr>
      <w:r>
        <w:rPr>
          <w:sz w:val="22"/>
          <w:szCs w:val="22"/>
        </w:rPr>
        <w:t>Source:</w:t>
      </w:r>
      <w:r w:rsidRPr="00CE0424">
        <w:rPr>
          <w:sz w:val="22"/>
          <w:szCs w:val="22"/>
        </w:rPr>
        <w:tab/>
        <w:t>Ericsson</w:t>
      </w:r>
      <w:r>
        <w:rPr>
          <w:sz w:val="22"/>
          <w:szCs w:val="22"/>
        </w:rPr>
        <w:tab/>
      </w:r>
    </w:p>
    <w:p w14:paraId="33EFE22D" w14:textId="3BCC2F3A" w:rsidR="00A34B69" w:rsidRPr="00CE0424" w:rsidRDefault="00A34B69" w:rsidP="00A34B69">
      <w:pPr>
        <w:pStyle w:val="3GPPHeader"/>
        <w:rPr>
          <w:sz w:val="22"/>
          <w:szCs w:val="22"/>
        </w:rPr>
      </w:pPr>
      <w:r>
        <w:rPr>
          <w:sz w:val="22"/>
          <w:szCs w:val="22"/>
        </w:rPr>
        <w:t>Title:</w:t>
      </w:r>
      <w:r w:rsidRPr="00CE0424">
        <w:rPr>
          <w:sz w:val="22"/>
          <w:szCs w:val="22"/>
        </w:rPr>
        <w:tab/>
      </w:r>
      <w:r w:rsidRPr="00A34B69">
        <w:rPr>
          <w:sz w:val="22"/>
          <w:szCs w:val="22"/>
        </w:rPr>
        <w:t>RAN internal architecture</w:t>
      </w:r>
    </w:p>
    <w:p w14:paraId="14C4A2E7" w14:textId="77777777" w:rsidR="00A34B69" w:rsidRPr="00CE0424" w:rsidRDefault="00A34B69" w:rsidP="00A34B69">
      <w:pPr>
        <w:pStyle w:val="3GPPHeader"/>
      </w:pPr>
      <w:r w:rsidRPr="00CE0424">
        <w:rPr>
          <w:sz w:val="22"/>
          <w:szCs w:val="22"/>
        </w:rPr>
        <w:t>Document for:</w:t>
      </w:r>
      <w:r w:rsidRPr="00CE0424">
        <w:rPr>
          <w:sz w:val="22"/>
          <w:szCs w:val="22"/>
        </w:rPr>
        <w:tab/>
      </w:r>
      <w:r w:rsidRPr="0035247D">
        <w:rPr>
          <w:sz w:val="22"/>
          <w:szCs w:val="22"/>
        </w:rPr>
        <w:t>Discussion, Decision</w:t>
      </w: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3621CCA8" w14:textId="0F439154" w:rsidR="009768D5" w:rsidRDefault="00AE25A8" w:rsidP="00D00AE7">
      <w:r>
        <w:t xml:space="preserve">The 5G RAN internal architecture was discussed </w:t>
      </w:r>
      <w:r w:rsidR="00E22858">
        <w:t xml:space="preserve">at the last RAN plenary. The conclusions were captured in the TR 36.913 </w:t>
      </w:r>
      <w:r w:rsidR="009768D5">
        <w:fldChar w:fldCharType="begin"/>
      </w:r>
      <w:r w:rsidR="009768D5">
        <w:instrText xml:space="preserve"> REF _Ref447104930 \r \h </w:instrText>
      </w:r>
      <w:r w:rsidR="009768D5">
        <w:fldChar w:fldCharType="separate"/>
      </w:r>
      <w:r w:rsidR="004329A5">
        <w:t>[1]</w:t>
      </w:r>
      <w:r w:rsidR="009768D5">
        <w:fldChar w:fldCharType="end"/>
      </w:r>
      <w:r w:rsidR="009768D5">
        <w:t xml:space="preserve"> </w:t>
      </w:r>
      <w:r w:rsidR="00E22858">
        <w:t xml:space="preserve">and in the Study Item description for New RAT (NR). </w:t>
      </w:r>
    </w:p>
    <w:p w14:paraId="5285BFD1" w14:textId="47871772" w:rsidR="00A0013B" w:rsidRPr="00297381" w:rsidRDefault="00E22858" w:rsidP="00D00AE7">
      <w:r>
        <w:t xml:space="preserve">This contribution </w:t>
      </w:r>
      <w:r w:rsidR="009768D5">
        <w:t>emphasizes the need for supporting a wide range of deployments and transport network characteristics and it discusses design principles for the radio interface that will ensure this flexibility. The contribution also discusses whether the need for deployment flexibility requires to or benefits from specifying RAN internal interfaces</w:t>
      </w:r>
      <w:r>
        <w:t>.</w:t>
      </w:r>
    </w:p>
    <w:p w14:paraId="2EE7A1D8" w14:textId="77777777" w:rsidR="00D00AE7" w:rsidRDefault="00D00AE7" w:rsidP="00D00AE7">
      <w:pPr>
        <w:pStyle w:val="Heading1"/>
      </w:pPr>
      <w:bookmarkStart w:id="3" w:name="_Ref447111257"/>
      <w:r>
        <w:t>Discussion</w:t>
      </w:r>
      <w:bookmarkEnd w:id="3"/>
    </w:p>
    <w:p w14:paraId="40C16B8A" w14:textId="41B5BED8" w:rsidR="00E22858" w:rsidRDefault="0050023A" w:rsidP="00E22858">
      <w:pPr>
        <w:pStyle w:val="Heading2"/>
      </w:pPr>
      <w:r>
        <w:t xml:space="preserve">Background </w:t>
      </w:r>
    </w:p>
    <w:p w14:paraId="388DA3E5" w14:textId="262C645B" w:rsidR="00E22858" w:rsidRDefault="00E22858" w:rsidP="00E22858">
      <w:r>
        <w:t>During the early standardization phase of LTE there was a clear requirement from operators that LTE should have a flat all IP architecture. The background for this was that operator</w:t>
      </w:r>
      <w:r w:rsidR="00F25D8A">
        <w:t>s</w:t>
      </w:r>
      <w:r>
        <w:t xml:space="preserve"> w</w:t>
      </w:r>
      <w:r w:rsidR="00F25D8A">
        <w:t>ere</w:t>
      </w:r>
      <w:r>
        <w:t xml:space="preserve"> not satisfied with the 3G architecture split</w:t>
      </w:r>
      <w:r w:rsidR="00F25D8A">
        <w:t>ting</w:t>
      </w:r>
      <w:r>
        <w:t xml:space="preserve"> RAN level functionality </w:t>
      </w:r>
      <w:r w:rsidR="008E72B9">
        <w:t>between the</w:t>
      </w:r>
      <w:r>
        <w:t xml:space="preserve"> RNC and NodeB. Issues with the RNC included </w:t>
      </w:r>
      <w:r w:rsidR="002C6A47">
        <w:t xml:space="preserve">things such as split of </w:t>
      </w:r>
      <w:r>
        <w:t>ownership of resources between NodeB and RNC</w:t>
      </w:r>
      <w:r w:rsidR="003B5C71">
        <w:t xml:space="preserve"> and</w:t>
      </w:r>
      <w:r>
        <w:t xml:space="preserve"> RLC termination point in the RNC putting strict requirement on flow control between the NodeB and RNC</w:t>
      </w:r>
      <w:r w:rsidR="002C6A47">
        <w:t>.</w:t>
      </w:r>
      <w:r>
        <w:t xml:space="preserve"> </w:t>
      </w:r>
      <w:r w:rsidR="003B5C71">
        <w:t xml:space="preserve">Furthermore, the </w:t>
      </w:r>
      <w:r>
        <w:t xml:space="preserve">3G architecture </w:t>
      </w:r>
      <w:r w:rsidR="003B5C71">
        <w:t xml:space="preserve">required substantial </w:t>
      </w:r>
      <w:r>
        <w:t>changes during the standardization of HSDPA and EUL where some functionality originally introduced in the RNC was moved to the NodeB.</w:t>
      </w:r>
      <w:r w:rsidR="00D75D32">
        <w:t xml:space="preserve"> </w:t>
      </w:r>
    </w:p>
    <w:p w14:paraId="274B1165" w14:textId="50592FA0" w:rsidR="00D75D32" w:rsidRDefault="00D75D32" w:rsidP="00E22858">
      <w:r>
        <w:t xml:space="preserve">The LTE architecture </w:t>
      </w:r>
      <w:r w:rsidR="005124EF">
        <w:t xml:space="preserve">comprises of </w:t>
      </w:r>
      <w:r w:rsidR="00F25D8A">
        <w:t xml:space="preserve">a </w:t>
      </w:r>
      <w:r>
        <w:t xml:space="preserve">single logical </w:t>
      </w:r>
      <w:r w:rsidR="00F25D8A">
        <w:t xml:space="preserve">RAN </w:t>
      </w:r>
      <w:r>
        <w:t xml:space="preserve">node (eNB) which terminates the S1 and X2 </w:t>
      </w:r>
      <w:r w:rsidR="008E72B9">
        <w:t xml:space="preserve">interfaces </w:t>
      </w:r>
      <w:r>
        <w:t>which is the focus of multi-vendor interactions. Nevertheless it has been shown that the LTE architecture do</w:t>
      </w:r>
      <w:r w:rsidR="00F25D8A">
        <w:t>es</w:t>
      </w:r>
      <w:r>
        <w:t xml:space="preserve"> allow for a high level of architecture flexibility where operators have deployed centralized based-band</w:t>
      </w:r>
      <w:r w:rsidR="005124EF">
        <w:t xml:space="preserve"> deployment</w:t>
      </w:r>
      <w:r w:rsidR="00F25D8A">
        <w:t>s</w:t>
      </w:r>
      <w:r>
        <w:t xml:space="preserve"> which can benefit from pooling based-band processing</w:t>
      </w:r>
      <w:r w:rsidR="005124EF">
        <w:t xml:space="preserve"> and thereby facilitate e.g. </w:t>
      </w:r>
      <w:r>
        <w:t>CoMP solutions</w:t>
      </w:r>
      <w:r w:rsidR="005124EF">
        <w:t xml:space="preserve"> across several transmission points</w:t>
      </w:r>
      <w:r>
        <w:t xml:space="preserve">. It is also possible in the implementation </w:t>
      </w:r>
      <w:r w:rsidR="000964CD">
        <w:t xml:space="preserve">for example </w:t>
      </w:r>
      <w:r>
        <w:t xml:space="preserve">to further centralize and virtualize higher layers of the </w:t>
      </w:r>
      <w:r w:rsidR="005124EF">
        <w:t>radio access protocol stack if that is found to be beneficial</w:t>
      </w:r>
      <w:r>
        <w:t>.</w:t>
      </w:r>
    </w:p>
    <w:p w14:paraId="3FA2EF26" w14:textId="6D7AF808" w:rsidR="00425953" w:rsidRDefault="005124EF" w:rsidP="005124EF">
      <w:r>
        <w:t xml:space="preserve">It is also worth noting that </w:t>
      </w:r>
      <w:r w:rsidR="00D75D32">
        <w:t>a lot of new features (e.g. MBMS, home eN</w:t>
      </w:r>
      <w:r w:rsidR="008E72B9">
        <w:t>B/CSG, SON enhancement,</w:t>
      </w:r>
      <w:r w:rsidR="00D75D32">
        <w:t xml:space="preserve"> IMS VoLTE, PWS, Improved Access Control, Mobility enhancement, CA, DC, MTC enhancement, </w:t>
      </w:r>
      <w:r w:rsidR="002C6A47">
        <w:t>LIPA/SIPTO, WLAN integration, Relays, Proximity base</w:t>
      </w:r>
      <w:r w:rsidR="00ED5D4B">
        <w:t>d</w:t>
      </w:r>
      <w:r w:rsidR="002C6A47">
        <w:t xml:space="preserve"> services, D2D, Positioning, CSFB, SRVCC, MIMO enhancement</w:t>
      </w:r>
      <w:r w:rsidR="00BB4F15">
        <w:t>, UE specific DMRS</w:t>
      </w:r>
      <w:r w:rsidR="002C6A47">
        <w:t xml:space="preserve">, CoMP, eICIC, Network sharing, …) </w:t>
      </w:r>
      <w:r w:rsidR="00D75D32">
        <w:t xml:space="preserve"> </w:t>
      </w:r>
      <w:r>
        <w:t xml:space="preserve">have been added to LTE since Rel-8 </w:t>
      </w:r>
      <w:r w:rsidR="00D75D32">
        <w:t xml:space="preserve">without </w:t>
      </w:r>
      <w:r>
        <w:t xml:space="preserve">requiring </w:t>
      </w:r>
      <w:r w:rsidR="002C6A47">
        <w:t xml:space="preserve">any fundamental changes to the </w:t>
      </w:r>
      <w:r>
        <w:t xml:space="preserve">RAN internal </w:t>
      </w:r>
      <w:r w:rsidR="002C6A47">
        <w:t>architecture</w:t>
      </w:r>
      <w:r>
        <w:t xml:space="preserve"> as specified in 3GPP</w:t>
      </w:r>
      <w:r w:rsidR="002C6A47">
        <w:t xml:space="preserve">. </w:t>
      </w:r>
      <w:r>
        <w:t xml:space="preserve">This flat RAN architecture has therefore accelerated the standardization of the above-mentioned functionality. More importantly, it also simplified the implementation and in particular the Inter-Operability-Testing. </w:t>
      </w:r>
    </w:p>
    <w:p w14:paraId="18192CDB" w14:textId="0E7D5B2F" w:rsidR="002C6A47" w:rsidRDefault="005124EF" w:rsidP="00E22858">
      <w:r>
        <w:t>I</w:t>
      </w:r>
      <w:r w:rsidR="002C6A47">
        <w:t xml:space="preserve">f </w:t>
      </w:r>
      <w:r>
        <w:t xml:space="preserve">E-UTRAN </w:t>
      </w:r>
      <w:r w:rsidR="002C6A47">
        <w:t xml:space="preserve">would have been split into several </w:t>
      </w:r>
      <w:r>
        <w:t xml:space="preserve">RAN internal </w:t>
      </w:r>
      <w:r w:rsidR="002C6A47">
        <w:t>node</w:t>
      </w:r>
      <w:r>
        <w:t>s (as formerly done in UTRAN),</w:t>
      </w:r>
      <w:r w:rsidR="002C6A47">
        <w:t xml:space="preserve"> the interfaces and the functional split between these </w:t>
      </w:r>
      <w:r w:rsidR="00425953">
        <w:t>nodes would have also been impacted</w:t>
      </w:r>
      <w:r>
        <w:t xml:space="preserve"> leading to the following problems</w:t>
      </w:r>
      <w:r w:rsidR="00425953">
        <w:t>:</w:t>
      </w:r>
    </w:p>
    <w:p w14:paraId="3FD8DDD1" w14:textId="6A316BE2" w:rsidR="005124EF" w:rsidRDefault="005124EF" w:rsidP="00425953">
      <w:pPr>
        <w:pStyle w:val="ListParagraph"/>
        <w:numPr>
          <w:ilvl w:val="0"/>
          <w:numId w:val="39"/>
        </w:numPr>
        <w:rPr>
          <w:rFonts w:ascii="Arial" w:eastAsia="Times New Roman" w:hAnsi="Arial"/>
          <w:sz w:val="20"/>
          <w:szCs w:val="20"/>
          <w:lang w:val="en-GB" w:eastAsia="zh-CN"/>
        </w:rPr>
      </w:pPr>
      <w:r>
        <w:rPr>
          <w:rFonts w:ascii="Arial" w:eastAsia="Times New Roman" w:hAnsi="Arial"/>
          <w:sz w:val="20"/>
          <w:szCs w:val="20"/>
          <w:lang w:val="en-GB" w:eastAsia="zh-CN"/>
        </w:rPr>
        <w:t>D</w:t>
      </w:r>
      <w:r w:rsidR="00425953" w:rsidRPr="00425953">
        <w:rPr>
          <w:rFonts w:ascii="Arial" w:eastAsia="Times New Roman" w:hAnsi="Arial"/>
          <w:sz w:val="20"/>
          <w:szCs w:val="20"/>
          <w:lang w:val="en-GB" w:eastAsia="zh-CN"/>
        </w:rPr>
        <w:t xml:space="preserve">elayed standardization of </w:t>
      </w:r>
      <w:r w:rsidR="00425953">
        <w:rPr>
          <w:rFonts w:ascii="Arial" w:eastAsia="Times New Roman" w:hAnsi="Arial"/>
          <w:sz w:val="20"/>
          <w:szCs w:val="20"/>
          <w:lang w:val="en-GB" w:eastAsia="zh-CN"/>
        </w:rPr>
        <w:t xml:space="preserve">new </w:t>
      </w:r>
      <w:r w:rsidR="00425953" w:rsidRPr="00425953">
        <w:rPr>
          <w:rFonts w:ascii="Arial" w:eastAsia="Times New Roman" w:hAnsi="Arial"/>
          <w:sz w:val="20"/>
          <w:szCs w:val="20"/>
          <w:lang w:val="en-GB" w:eastAsia="zh-CN"/>
        </w:rPr>
        <w:t xml:space="preserve">radio features since also internal interfaces would need to be standardized. </w:t>
      </w:r>
    </w:p>
    <w:p w14:paraId="5069409E" w14:textId="2759DCA3" w:rsidR="00425953" w:rsidRPr="00425953" w:rsidRDefault="005124EF" w:rsidP="00425953">
      <w:pPr>
        <w:pStyle w:val="ListParagraph"/>
        <w:numPr>
          <w:ilvl w:val="0"/>
          <w:numId w:val="39"/>
        </w:numPr>
        <w:rPr>
          <w:rFonts w:ascii="Arial" w:eastAsia="Times New Roman" w:hAnsi="Arial"/>
          <w:sz w:val="20"/>
          <w:szCs w:val="20"/>
          <w:lang w:val="en-GB" w:eastAsia="zh-CN"/>
        </w:rPr>
      </w:pPr>
      <w:r>
        <w:rPr>
          <w:rFonts w:ascii="Arial" w:eastAsia="Times New Roman" w:hAnsi="Arial"/>
          <w:sz w:val="20"/>
          <w:szCs w:val="20"/>
          <w:lang w:val="en-GB" w:eastAsia="zh-CN"/>
        </w:rPr>
        <w:t>Delayed</w:t>
      </w:r>
      <w:r w:rsidR="00425953" w:rsidRPr="00425953">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and more complex </w:t>
      </w:r>
      <w:r w:rsidR="00425953" w:rsidRPr="00425953">
        <w:rPr>
          <w:rFonts w:ascii="Arial" w:eastAsia="Times New Roman" w:hAnsi="Arial"/>
          <w:sz w:val="20"/>
          <w:szCs w:val="20"/>
          <w:lang w:val="en-GB" w:eastAsia="zh-CN"/>
        </w:rPr>
        <w:t>implementation and testing of the new features.</w:t>
      </w:r>
    </w:p>
    <w:p w14:paraId="699E985B" w14:textId="352C1320" w:rsidR="00425953" w:rsidRPr="00425953" w:rsidRDefault="005124EF" w:rsidP="00425953">
      <w:pPr>
        <w:pStyle w:val="ListParagraph"/>
        <w:numPr>
          <w:ilvl w:val="0"/>
          <w:numId w:val="39"/>
        </w:numPr>
        <w:rPr>
          <w:rFonts w:ascii="Arial" w:eastAsia="Times New Roman" w:hAnsi="Arial"/>
          <w:sz w:val="20"/>
          <w:szCs w:val="20"/>
          <w:lang w:val="en-GB" w:eastAsia="zh-CN"/>
        </w:rPr>
      </w:pPr>
      <w:r>
        <w:rPr>
          <w:rFonts w:ascii="Arial" w:eastAsia="Times New Roman" w:hAnsi="Arial"/>
          <w:sz w:val="20"/>
          <w:szCs w:val="20"/>
          <w:lang w:val="en-GB" w:eastAsia="zh-CN"/>
        </w:rPr>
        <w:t>A</w:t>
      </w:r>
      <w:r w:rsidR="00425953" w:rsidRPr="00425953">
        <w:rPr>
          <w:rFonts w:ascii="Arial" w:eastAsia="Times New Roman" w:hAnsi="Arial"/>
          <w:sz w:val="20"/>
          <w:szCs w:val="20"/>
          <w:lang w:val="en-GB" w:eastAsia="zh-CN"/>
        </w:rPr>
        <w:t xml:space="preserve"> risk that early decisions of the functional split between the internal nodes would have been sub-optimal for later features introduced in LTE which either would have meant that sub-optimal solutions would have had to be adopted or major redesign would </w:t>
      </w:r>
      <w:r w:rsidR="000964CD">
        <w:rPr>
          <w:rFonts w:ascii="Arial" w:eastAsia="Times New Roman" w:hAnsi="Arial"/>
          <w:sz w:val="20"/>
          <w:szCs w:val="20"/>
          <w:lang w:val="en-GB" w:eastAsia="zh-CN"/>
        </w:rPr>
        <w:t xml:space="preserve">have </w:t>
      </w:r>
      <w:r w:rsidR="00425953" w:rsidRPr="00425953">
        <w:rPr>
          <w:rFonts w:ascii="Arial" w:eastAsia="Times New Roman" w:hAnsi="Arial"/>
          <w:sz w:val="20"/>
          <w:szCs w:val="20"/>
          <w:lang w:val="en-GB" w:eastAsia="zh-CN"/>
        </w:rPr>
        <w:t>be</w:t>
      </w:r>
      <w:r w:rsidR="000964CD">
        <w:rPr>
          <w:rFonts w:ascii="Arial" w:eastAsia="Times New Roman" w:hAnsi="Arial"/>
          <w:sz w:val="20"/>
          <w:szCs w:val="20"/>
          <w:lang w:val="en-GB" w:eastAsia="zh-CN"/>
        </w:rPr>
        <w:t>en</w:t>
      </w:r>
      <w:r w:rsidR="00425953" w:rsidRPr="00425953">
        <w:rPr>
          <w:rFonts w:ascii="Arial" w:eastAsia="Times New Roman" w:hAnsi="Arial"/>
          <w:sz w:val="20"/>
          <w:szCs w:val="20"/>
          <w:lang w:val="en-GB" w:eastAsia="zh-CN"/>
        </w:rPr>
        <w:t xml:space="preserve"> needed.</w:t>
      </w:r>
    </w:p>
    <w:p w14:paraId="7E3FB441" w14:textId="02CA3334" w:rsidR="00425953" w:rsidRPr="00425953" w:rsidRDefault="00425953" w:rsidP="00425953">
      <w:pPr>
        <w:pStyle w:val="ListParagraph"/>
        <w:numPr>
          <w:ilvl w:val="0"/>
          <w:numId w:val="39"/>
        </w:numPr>
        <w:rPr>
          <w:rFonts w:ascii="Arial" w:eastAsia="Times New Roman" w:hAnsi="Arial"/>
          <w:sz w:val="20"/>
          <w:szCs w:val="20"/>
          <w:lang w:val="en-GB" w:eastAsia="zh-CN"/>
        </w:rPr>
      </w:pPr>
      <w:r w:rsidRPr="00425953">
        <w:rPr>
          <w:rFonts w:ascii="Arial" w:eastAsia="Times New Roman" w:hAnsi="Arial"/>
          <w:sz w:val="20"/>
          <w:szCs w:val="20"/>
          <w:lang w:val="en-GB" w:eastAsia="zh-CN"/>
        </w:rPr>
        <w:lastRenderedPageBreak/>
        <w:t xml:space="preserve">Different vendor’s implementation could </w:t>
      </w:r>
      <w:r>
        <w:rPr>
          <w:rFonts w:ascii="Arial" w:eastAsia="Times New Roman" w:hAnsi="Arial"/>
          <w:sz w:val="20"/>
          <w:szCs w:val="20"/>
          <w:lang w:val="en-GB" w:eastAsia="zh-CN"/>
        </w:rPr>
        <w:t>have made</w:t>
      </w:r>
      <w:r w:rsidRPr="00425953">
        <w:rPr>
          <w:rFonts w:ascii="Arial" w:eastAsia="Times New Roman" w:hAnsi="Arial"/>
          <w:sz w:val="20"/>
          <w:szCs w:val="20"/>
          <w:lang w:val="en-GB" w:eastAsia="zh-CN"/>
        </w:rPr>
        <w:t xml:space="preserve"> it difficult to agree on the preferred split, potentially leading to sub-optimal solutions being adopted in the standard. </w:t>
      </w:r>
      <w:r w:rsidR="008F3B80">
        <w:rPr>
          <w:rFonts w:ascii="Arial" w:eastAsia="Times New Roman" w:hAnsi="Arial"/>
          <w:sz w:val="20"/>
          <w:szCs w:val="20"/>
          <w:lang w:val="en-GB" w:eastAsia="zh-CN"/>
        </w:rPr>
        <w:t>Such suboptimal solutions could have resulted in lack of inter vendor interoperability and higher integration costs.</w:t>
      </w:r>
      <w:r w:rsidRPr="00425953">
        <w:rPr>
          <w:rFonts w:ascii="Arial" w:eastAsia="Times New Roman" w:hAnsi="Arial"/>
          <w:sz w:val="20"/>
          <w:szCs w:val="20"/>
          <w:lang w:val="en-GB" w:eastAsia="zh-CN"/>
        </w:rPr>
        <w:t xml:space="preserve"> </w:t>
      </w:r>
    </w:p>
    <w:p w14:paraId="70DA354B" w14:textId="77777777" w:rsidR="00D360B8" w:rsidRDefault="00D360B8" w:rsidP="00D360B8">
      <w:pPr>
        <w:pStyle w:val="BodyText"/>
      </w:pPr>
      <w:bookmarkStart w:id="4" w:name="_Toc446333005"/>
      <w:r>
        <w:t>The 3G architecture on the other hand has attempted to specify a protocol split by standardising the Iub interface between NodeB and RNC. This has proven to be rather inefficient, some of the issues being as follows:</w:t>
      </w:r>
    </w:p>
    <w:p w14:paraId="7E3B711C" w14:textId="77777777" w:rsidR="00D360B8" w:rsidRDefault="00D360B8" w:rsidP="00D360B8">
      <w:pPr>
        <w:pStyle w:val="ListBullet"/>
      </w:pPr>
      <w:r>
        <w:t>One of the functions of the Iub interface is to allow Radio Resource Management from the RNC to the NodeB. RRM is made of proprietary algorithms involving processes shared by the RNC and NodeB. It is extremely difficult to have an efficiently working Iub interface in a multi-vendor RNC-NB deployment because of the tailored vendor specific processes each node would support, and that cannot be supported by a standardized interface</w:t>
      </w:r>
    </w:p>
    <w:p w14:paraId="496F2A8B" w14:textId="77777777" w:rsidR="00D360B8" w:rsidRDefault="00D360B8" w:rsidP="00D360B8">
      <w:pPr>
        <w:pStyle w:val="ListBullet"/>
      </w:pPr>
      <w:r>
        <w:t>The processes run over the Iub can be very delay sensitive, examples can be scheduling coordination, UL/DL power control. In situations where the RNC-NB connection is not sufficiently performing it is very difficult to make the Iub operate in an efficient way. In such scenarios a different RAN architecture split would have been more suitable.</w:t>
      </w:r>
    </w:p>
    <w:p w14:paraId="28E892A1" w14:textId="171D7D9F" w:rsidR="00D360B8" w:rsidRPr="00425953" w:rsidRDefault="00D360B8" w:rsidP="00E072E4">
      <w:pPr>
        <w:pStyle w:val="BodyText"/>
      </w:pPr>
      <w:r>
        <w:t>The issues above related to the 3G technologies revealed to be difficult to solve, which is why the work on a flat LTE architecture was triggered an</w:t>
      </w:r>
      <w:r w:rsidR="004329A5">
        <w:t>d why this choice has been made</w:t>
      </w:r>
      <w:r>
        <w:t>.</w:t>
      </w:r>
    </w:p>
    <w:p w14:paraId="123EA050" w14:textId="760036F8" w:rsidR="002C6A47" w:rsidRPr="003F2F03" w:rsidRDefault="003F2F03" w:rsidP="00297381">
      <w:pPr>
        <w:pStyle w:val="Observation"/>
      </w:pPr>
      <w:bookmarkStart w:id="5" w:name="_Toc447111244"/>
      <w:bookmarkStart w:id="6" w:name="_Toc447111288"/>
      <w:bookmarkStart w:id="7" w:name="_Toc447111364"/>
      <w:bookmarkStart w:id="8" w:name="_Toc447300855"/>
      <w:bookmarkStart w:id="9" w:name="_Toc447313064"/>
      <w:bookmarkStart w:id="10" w:name="_Toc447313294"/>
      <w:r w:rsidRPr="003F2F03">
        <w:t xml:space="preserve">The decision to go for a flat LTE architecture was </w:t>
      </w:r>
      <w:r w:rsidR="00F25D8A">
        <w:t xml:space="preserve">a conscious choice ensuring </w:t>
      </w:r>
      <w:r w:rsidR="00297381">
        <w:t>short</w:t>
      </w:r>
      <w:r w:rsidR="00F25D8A">
        <w:t xml:space="preserve"> time-to-market and guaranteeing </w:t>
      </w:r>
      <w:r>
        <w:t>a high level of future proof</w:t>
      </w:r>
      <w:r w:rsidR="00297381">
        <w:t>-</w:t>
      </w:r>
      <w:r>
        <w:t>ness and flexibility allowing for smart implementation.</w:t>
      </w:r>
      <w:bookmarkEnd w:id="4"/>
      <w:bookmarkEnd w:id="5"/>
      <w:bookmarkEnd w:id="6"/>
      <w:bookmarkEnd w:id="7"/>
      <w:bookmarkEnd w:id="8"/>
      <w:bookmarkEnd w:id="9"/>
      <w:bookmarkEnd w:id="10"/>
      <w:r>
        <w:t xml:space="preserve"> </w:t>
      </w:r>
    </w:p>
    <w:p w14:paraId="012ADD27" w14:textId="71768E42" w:rsidR="003F2F03" w:rsidRDefault="000964CD" w:rsidP="003F2F03">
      <w:pPr>
        <w:pStyle w:val="Heading2"/>
      </w:pPr>
      <w:r>
        <w:t>Learnings from LTE</w:t>
      </w:r>
    </w:p>
    <w:p w14:paraId="771E80A3" w14:textId="3BFF565F" w:rsidR="0091784D" w:rsidRDefault="0091784D" w:rsidP="003F2F03">
      <w:r>
        <w:t>A</w:t>
      </w:r>
      <w:r w:rsidR="000964CD">
        <w:t xml:space="preserve">s mentioned in the previous section </w:t>
      </w:r>
      <w:r>
        <w:t>the flat E-UTRAN architecture made</w:t>
      </w:r>
      <w:r w:rsidR="000964CD">
        <w:t xml:space="preserve"> it possible to add new features and deployments while still maintaining backwards compatibility</w:t>
      </w:r>
      <w:r>
        <w:t>.</w:t>
      </w:r>
      <w:r w:rsidR="000964CD">
        <w:t xml:space="preserve"> </w:t>
      </w:r>
    </w:p>
    <w:p w14:paraId="7368948B" w14:textId="77777777" w:rsidR="00F25B19" w:rsidRDefault="000F3796" w:rsidP="00F25B19">
      <w:r>
        <w:t>However</w:t>
      </w:r>
      <w:r w:rsidR="000964CD">
        <w:t xml:space="preserve">, some </w:t>
      </w:r>
      <w:r w:rsidR="0091784D">
        <w:t>Rel-8 design choices for the physical layer and the L2 user plane protocols later turned out to be restrictive and even impossible to change in a ba</w:t>
      </w:r>
      <w:r>
        <w:t>ckward compatible manner</w:t>
      </w:r>
      <w:r w:rsidR="003F2F03">
        <w:t>:</w:t>
      </w:r>
    </w:p>
    <w:p w14:paraId="3CC0CC1E" w14:textId="5BA2622D" w:rsidR="00A261D4" w:rsidRDefault="003F2F03" w:rsidP="00F25B19">
      <w:pPr>
        <w:pStyle w:val="ListBullet"/>
      </w:pPr>
      <w:r>
        <w:t xml:space="preserve">LTE used fixed timing for DL HARQ ACKs of 4 ms which </w:t>
      </w:r>
      <w:r w:rsidR="000964CD">
        <w:t>means that the network need</w:t>
      </w:r>
      <w:r w:rsidR="0091784D">
        <w:t>s</w:t>
      </w:r>
      <w:r w:rsidR="000964CD">
        <w:t xml:space="preserve"> to perform decoding and respond within a fixed time frame</w:t>
      </w:r>
      <w:r w:rsidR="00BE52DB">
        <w:t xml:space="preserve">. This </w:t>
      </w:r>
      <w:r>
        <w:t>makes it difficult to centralize base band processing</w:t>
      </w:r>
      <w:r w:rsidR="000F3796">
        <w:t xml:space="preserve"> or </w:t>
      </w:r>
      <w:r w:rsidR="00BE52DB">
        <w:t>unless very low transport network latency can be guaranteed</w:t>
      </w:r>
      <w:r w:rsidR="000964CD">
        <w:t xml:space="preserve">. </w:t>
      </w:r>
    </w:p>
    <w:p w14:paraId="3169FDA6" w14:textId="354D2B36" w:rsidR="00F25B19" w:rsidRDefault="003F2F03" w:rsidP="000F3796">
      <w:pPr>
        <w:pStyle w:val="ListBullet"/>
      </w:pPr>
      <w:r>
        <w:t xml:space="preserve">LTE has </w:t>
      </w:r>
      <w:r w:rsidR="00A0013B">
        <w:t xml:space="preserve">a </w:t>
      </w:r>
      <w:r>
        <w:t>very tight coupling between the physical cell ID (PSS,SSS) and a number of different other parameters</w:t>
      </w:r>
      <w:r w:rsidR="00BB4F15">
        <w:t>/features</w:t>
      </w:r>
      <w:r>
        <w:t xml:space="preserve"> such as PDCCH, CRS, SIB/MIB broadcast, UL scrambling, Handover Method, Security Key change, etc. </w:t>
      </w:r>
      <w:r w:rsidR="00B92D68">
        <w:t xml:space="preserve">While the scrambling with the cell ID randomizes inter-cell interference and thereby enables a full frequency re-use, it </w:t>
      </w:r>
      <w:r>
        <w:t>limit</w:t>
      </w:r>
      <w:r w:rsidR="00B92D68">
        <w:t>s for example</w:t>
      </w:r>
      <w:r>
        <w:t xml:space="preserve"> the PDCCH </w:t>
      </w:r>
      <w:r w:rsidR="00B92D68">
        <w:t xml:space="preserve">capacity in shared-cell </w:t>
      </w:r>
      <w:r w:rsidR="0050023A">
        <w:t>deployments.</w:t>
      </w:r>
    </w:p>
    <w:p w14:paraId="6D063F66" w14:textId="27AEF359" w:rsidR="003F2F03" w:rsidRDefault="00B92D68" w:rsidP="000F3796">
      <w:pPr>
        <w:pStyle w:val="ListBullet"/>
      </w:pPr>
      <w:r>
        <w:t xml:space="preserve">Furthermore, the security parameters are coupled to the PCI and need to be </w:t>
      </w:r>
      <w:r w:rsidR="00F25B19">
        <w:t>changed upon every cell change</w:t>
      </w:r>
      <w:r w:rsidR="003F2F03">
        <w:t xml:space="preserve"> even if the transmission points </w:t>
      </w:r>
      <w:r w:rsidR="000964CD">
        <w:t>are</w:t>
      </w:r>
      <w:r w:rsidR="003F2F03">
        <w:t xml:space="preserve"> served by same </w:t>
      </w:r>
      <w:r>
        <w:t>node</w:t>
      </w:r>
      <w:r w:rsidR="00833C62">
        <w:t xml:space="preserve">. </w:t>
      </w:r>
      <w:r>
        <w:t xml:space="preserve">This </w:t>
      </w:r>
      <w:r w:rsidR="00833C62">
        <w:t>lead</w:t>
      </w:r>
      <w:r w:rsidR="00F25B19">
        <w:t>s</w:t>
      </w:r>
      <w:r w:rsidR="00833C62">
        <w:t xml:space="preserve"> to PDCP encryption </w:t>
      </w:r>
      <w:r w:rsidR="000964CD">
        <w:t xml:space="preserve">key </w:t>
      </w:r>
      <w:r w:rsidR="00833C62">
        <w:t>change even if the PDCP termination points are the same</w:t>
      </w:r>
      <w:r w:rsidR="000964CD">
        <w:t xml:space="preserve"> </w:t>
      </w:r>
      <w:r w:rsidR="00EF2167">
        <w:t xml:space="preserve">before and after </w:t>
      </w:r>
      <w:r w:rsidR="00F25B19">
        <w:t xml:space="preserve">the </w:t>
      </w:r>
      <w:r w:rsidR="00EF2167">
        <w:t>handover</w:t>
      </w:r>
      <w:r w:rsidR="00F25B19">
        <w:t>,</w:t>
      </w:r>
      <w:r w:rsidR="00EF2167">
        <w:t xml:space="preserve"> </w:t>
      </w:r>
      <w:r w:rsidR="000964CD">
        <w:t xml:space="preserve">which may </w:t>
      </w:r>
      <w:r w:rsidR="00EF2167">
        <w:t>lead to unnecessary processing / buffering</w:t>
      </w:r>
      <w:r w:rsidR="00F25B19">
        <w:t>.</w:t>
      </w:r>
    </w:p>
    <w:p w14:paraId="1586301F" w14:textId="05C21212" w:rsidR="00F719F1" w:rsidRDefault="00B92D68" w:rsidP="00F25B19">
      <w:pPr>
        <w:pStyle w:val="ListBullet"/>
      </w:pPr>
      <w:r>
        <w:t>UE</w:t>
      </w:r>
      <w:r w:rsidR="00F25B19">
        <w:t>s</w:t>
      </w:r>
      <w:r>
        <w:t xml:space="preserve"> expect E-UTRA cells to transmit CRS 4 times in each subframe, PSS/SSS in every 5</w:t>
      </w:r>
      <w:r w:rsidRPr="00F25B19">
        <w:rPr>
          <w:vertAlign w:val="superscript"/>
        </w:rPr>
        <w:t>th</w:t>
      </w:r>
      <w:r>
        <w:t xml:space="preserve"> subframe and MIB once every 10</w:t>
      </w:r>
      <w:r w:rsidRPr="00F25B19">
        <w:rPr>
          <w:vertAlign w:val="superscript"/>
        </w:rPr>
        <w:t>th</w:t>
      </w:r>
      <w:r>
        <w:t xml:space="preserve"> subframe - irrespective whether the cell is actively used for data transmission or not. While these frequent transmissions make it easy for the UEs to discover and measure the cells</w:t>
      </w:r>
      <w:r w:rsidR="00F719F1">
        <w:t xml:space="preserve">, the transmissions </w:t>
      </w:r>
      <w:r>
        <w:t>have been identified as the main source for the RAN’s energy consumption</w:t>
      </w:r>
      <w:r w:rsidR="00F25B19">
        <w:t xml:space="preserve"> </w:t>
      </w:r>
      <w:r w:rsidR="00F25B19">
        <w:fldChar w:fldCharType="begin"/>
      </w:r>
      <w:r w:rsidR="00F25B19">
        <w:instrText xml:space="preserve"> REF _Ref447312660 \n \h </w:instrText>
      </w:r>
      <w:r w:rsidR="00F25B19">
        <w:fldChar w:fldCharType="separate"/>
      </w:r>
      <w:r w:rsidR="004329A5">
        <w:t>[2]</w:t>
      </w:r>
      <w:r w:rsidR="00F25B19">
        <w:fldChar w:fldCharType="end"/>
      </w:r>
      <w:r>
        <w:t xml:space="preserve">. </w:t>
      </w:r>
    </w:p>
    <w:p w14:paraId="46651882" w14:textId="6D83EBD6" w:rsidR="00833C62" w:rsidRDefault="00F719F1" w:rsidP="00F25B19">
      <w:pPr>
        <w:pStyle w:val="BodyText"/>
      </w:pPr>
      <w:r>
        <w:t>Changes to these principles in a backwards compatible manner</w:t>
      </w:r>
      <w:r w:rsidR="007648E2">
        <w:t xml:space="preserve"> are difficult or</w:t>
      </w:r>
      <w:r>
        <w:t xml:space="preserve"> not possible and therefore they </w:t>
      </w:r>
      <w:r w:rsidR="007648E2">
        <w:t>restrict</w:t>
      </w:r>
      <w:r>
        <w:t xml:space="preserve"> the deployment flexibility considerably. </w:t>
      </w:r>
    </w:p>
    <w:p w14:paraId="65832718" w14:textId="77777777" w:rsidR="00C87DE6" w:rsidRDefault="00E040A4" w:rsidP="00833C62">
      <w:r>
        <w:t xml:space="preserve">If these </w:t>
      </w:r>
      <w:r w:rsidR="00EF2167">
        <w:t>sorts</w:t>
      </w:r>
      <w:r>
        <w:t xml:space="preserve"> of limitations</w:t>
      </w:r>
      <w:r w:rsidR="008F3B80">
        <w:t>,</w:t>
      </w:r>
      <w:r>
        <w:t xml:space="preserve"> </w:t>
      </w:r>
      <w:r w:rsidR="008F3B80">
        <w:t xml:space="preserve">preventing for freedom to split RAN protocols in the way that best fits deployment conditions and business needs, </w:t>
      </w:r>
      <w:r>
        <w:t>can be avoided for NR</w:t>
      </w:r>
      <w:r w:rsidR="00C87DE6">
        <w:t>,</w:t>
      </w:r>
      <w:r>
        <w:t xml:space="preserve"> the NR system would be more future proof since it would allow more flexibility where functions are deployed and scalability in supporting many different deployments (e.g. ultra-dense deployments).</w:t>
      </w:r>
    </w:p>
    <w:p w14:paraId="291A5EA7" w14:textId="6ECCDC1B" w:rsidR="00E040A4" w:rsidRDefault="00C87DE6" w:rsidP="00F25B19">
      <w:pPr>
        <w:pStyle w:val="Observation"/>
      </w:pPr>
      <w:bookmarkStart w:id="11" w:name="_Toc447111245"/>
      <w:bookmarkStart w:id="12" w:name="_Toc447111289"/>
      <w:bookmarkStart w:id="13" w:name="_Toc447111365"/>
      <w:bookmarkStart w:id="14" w:name="_Toc447300856"/>
      <w:bookmarkStart w:id="15" w:name="_Toc447313065"/>
      <w:bookmarkStart w:id="16" w:name="_Toc447313295"/>
      <w:r>
        <w:t>Some design choices of the E-UTRA radio interface (Uu) limit the deployment flexibility and are difficult to change in a backward compatible manner.</w:t>
      </w:r>
      <w:bookmarkEnd w:id="11"/>
      <w:bookmarkEnd w:id="12"/>
      <w:bookmarkEnd w:id="13"/>
      <w:bookmarkEnd w:id="14"/>
      <w:bookmarkEnd w:id="15"/>
      <w:bookmarkEnd w:id="16"/>
      <w:r>
        <w:t xml:space="preserve"> </w:t>
      </w:r>
    </w:p>
    <w:p w14:paraId="03BEA657" w14:textId="71A37E58" w:rsidR="00833C62" w:rsidRDefault="00833C62" w:rsidP="00297381">
      <w:pPr>
        <w:pStyle w:val="Proposal"/>
      </w:pPr>
      <w:bookmarkStart w:id="17" w:name="_Toc446333006"/>
      <w:bookmarkStart w:id="18" w:name="_Toc447111246"/>
      <w:bookmarkStart w:id="19" w:name="_Toc447111290"/>
      <w:bookmarkStart w:id="20" w:name="_Toc447111366"/>
      <w:bookmarkStart w:id="21" w:name="_Toc447300851"/>
      <w:bookmarkStart w:id="22" w:name="_Toc447300853"/>
      <w:bookmarkStart w:id="23" w:name="_Toc447313068"/>
      <w:bookmarkStart w:id="24" w:name="_Toc447313296"/>
      <w:r>
        <w:lastRenderedPageBreak/>
        <w:t xml:space="preserve">The NR radio interface should </w:t>
      </w:r>
      <w:r w:rsidR="00FB400A">
        <w:t>facilitate</w:t>
      </w:r>
      <w:r>
        <w:t xml:space="preserve"> </w:t>
      </w:r>
      <w:r w:rsidR="00FB400A">
        <w:t>a</w:t>
      </w:r>
      <w:r>
        <w:t xml:space="preserve"> high </w:t>
      </w:r>
      <w:r w:rsidR="00FB400A">
        <w:t xml:space="preserve">degree </w:t>
      </w:r>
      <w:r>
        <w:t xml:space="preserve">of architecture flexibility </w:t>
      </w:r>
      <w:r w:rsidR="00E040A4">
        <w:t>and scalability</w:t>
      </w:r>
      <w:r w:rsidR="00EF2167">
        <w:t xml:space="preserve"> </w:t>
      </w:r>
      <w:r w:rsidR="00FB400A">
        <w:t>while</w:t>
      </w:r>
      <w:r w:rsidR="00EF2167">
        <w:t xml:space="preserve"> </w:t>
      </w:r>
      <w:r w:rsidR="00FB400A">
        <w:t>minimizing</w:t>
      </w:r>
      <w:r>
        <w:t xml:space="preserve"> </w:t>
      </w:r>
      <w:r w:rsidR="00E040A4">
        <w:t xml:space="preserve">hard timing requirements on the network side and tight coupling </w:t>
      </w:r>
      <w:r w:rsidR="00297381">
        <w:t>between different parameters</w:t>
      </w:r>
      <w:r w:rsidR="00FB400A">
        <w:t xml:space="preserve"> and signals</w:t>
      </w:r>
      <w:r>
        <w:t>.</w:t>
      </w:r>
      <w:bookmarkEnd w:id="17"/>
      <w:bookmarkEnd w:id="18"/>
      <w:bookmarkEnd w:id="19"/>
      <w:bookmarkEnd w:id="20"/>
      <w:bookmarkEnd w:id="21"/>
      <w:bookmarkEnd w:id="22"/>
      <w:bookmarkEnd w:id="23"/>
      <w:bookmarkEnd w:id="24"/>
    </w:p>
    <w:p w14:paraId="1E055A4F" w14:textId="1E38DBA1" w:rsidR="00833C62" w:rsidRDefault="00EF2167" w:rsidP="00833C62">
      <w:pPr>
        <w:pStyle w:val="Heading2"/>
      </w:pPr>
      <w:r>
        <w:t xml:space="preserve">Assumptions regarding </w:t>
      </w:r>
      <w:r w:rsidR="00833C62">
        <w:t>NR RAN internal architecture</w:t>
      </w:r>
    </w:p>
    <w:p w14:paraId="63F012C9" w14:textId="327B7ECF" w:rsidR="00833C62" w:rsidRDefault="00297381" w:rsidP="00833C62">
      <w:r>
        <w:t>As discussed in the previous section</w:t>
      </w:r>
      <w:r w:rsidR="00FA1470">
        <w:t>s</w:t>
      </w:r>
      <w:r>
        <w:t xml:space="preserve"> there is a goal to ensure th</w:t>
      </w:r>
      <w:r w:rsidR="006F56F6">
        <w:t>at</w:t>
      </w:r>
      <w:r>
        <w:t xml:space="preserve"> NR is as future proof as possible supporting high level of architecture flexibility. </w:t>
      </w:r>
      <w:r w:rsidR="00FA1470">
        <w:t>As seen in LTE, this does not require specifying many RAN internal interfaces but rather to focus on a lean and flexible design of the radio interface. Besides that, standardizing</w:t>
      </w:r>
      <w:r>
        <w:t xml:space="preserve"> RAN internal interfaces supporting this architecture flexibility is </w:t>
      </w:r>
      <w:r w:rsidR="00833C62">
        <w:t>very challenging due to among other things the high level of dependency between different RAN functions</w:t>
      </w:r>
      <w:r w:rsidR="00F25D8A">
        <w:t>. I</w:t>
      </w:r>
      <w:r w:rsidR="00833C62">
        <w:t xml:space="preserve">t is </w:t>
      </w:r>
      <w:r w:rsidR="00F25D8A">
        <w:t xml:space="preserve">hence </w:t>
      </w:r>
      <w:r w:rsidR="00833C62">
        <w:t xml:space="preserve">important </w:t>
      </w:r>
      <w:r w:rsidR="00165E2A">
        <w:t xml:space="preserve">to progress </w:t>
      </w:r>
      <w:r w:rsidR="00833C62">
        <w:t xml:space="preserve">the NR architecture </w:t>
      </w:r>
      <w:r w:rsidR="00165E2A">
        <w:t xml:space="preserve">discussions </w:t>
      </w:r>
      <w:r w:rsidR="00833C62">
        <w:t>first</w:t>
      </w:r>
      <w:r w:rsidR="00165E2A">
        <w:t xml:space="preserve"> and to agree </w:t>
      </w:r>
      <w:r w:rsidR="00833C62">
        <w:t xml:space="preserve">what functions/features are needed before considering if any RAN internal </w:t>
      </w:r>
      <w:r w:rsidR="008F3B80">
        <w:t>interface</w:t>
      </w:r>
      <w:r w:rsidR="00833C62">
        <w:t xml:space="preserve"> other than S1 and X2 should be standardized.</w:t>
      </w:r>
    </w:p>
    <w:p w14:paraId="30EE66F9" w14:textId="6B096336" w:rsidR="00833C62" w:rsidRDefault="008E72B9" w:rsidP="00297381">
      <w:pPr>
        <w:pStyle w:val="Proposal"/>
      </w:pPr>
      <w:bookmarkStart w:id="25" w:name="_Toc447313069"/>
      <w:bookmarkStart w:id="26" w:name="_Toc447313297"/>
      <w:bookmarkStart w:id="27" w:name="_Toc446333007"/>
      <w:bookmarkStart w:id="28" w:name="_Toc447111247"/>
      <w:bookmarkStart w:id="29" w:name="_Toc447111291"/>
      <w:bookmarkStart w:id="30" w:name="_Toc447111367"/>
      <w:bookmarkStart w:id="31" w:name="_Toc447300852"/>
      <w:bookmarkStart w:id="32" w:name="_Toc447300854"/>
      <w:r>
        <w:t>The initial work on the N</w:t>
      </w:r>
      <w:r w:rsidR="00170E5C">
        <w:t xml:space="preserve">ew </w:t>
      </w:r>
      <w:r>
        <w:t>R</w:t>
      </w:r>
      <w:r w:rsidR="00170E5C">
        <w:t>adio</w:t>
      </w:r>
      <w:r>
        <w:t xml:space="preserve"> </w:t>
      </w:r>
      <w:r w:rsidR="00170E5C">
        <w:t>interface</w:t>
      </w:r>
      <w:r>
        <w:t xml:space="preserve"> should focus on the </w:t>
      </w:r>
      <w:r w:rsidR="00170E5C">
        <w:t xml:space="preserve">required radio interface </w:t>
      </w:r>
      <w:r>
        <w:t xml:space="preserve">functionality and not on the RAN </w:t>
      </w:r>
      <w:r w:rsidR="00170E5C">
        <w:t xml:space="preserve">internal </w:t>
      </w:r>
      <w:r w:rsidR="00695332">
        <w:t>splits.</w:t>
      </w:r>
      <w:bookmarkEnd w:id="25"/>
      <w:bookmarkEnd w:id="26"/>
      <w:r>
        <w:t xml:space="preserve"> </w:t>
      </w:r>
      <w:bookmarkEnd w:id="27"/>
      <w:bookmarkEnd w:id="28"/>
      <w:bookmarkEnd w:id="29"/>
      <w:bookmarkEnd w:id="30"/>
      <w:bookmarkEnd w:id="31"/>
      <w:bookmarkEnd w:id="32"/>
    </w:p>
    <w:p w14:paraId="55268046" w14:textId="77777777" w:rsidR="00833C62" w:rsidRDefault="00833C62" w:rsidP="00833C62"/>
    <w:p w14:paraId="2D0538BE" w14:textId="77777777" w:rsidR="00D00AE7" w:rsidRDefault="00D00AE7" w:rsidP="00D00AE7">
      <w:pPr>
        <w:pStyle w:val="Heading1"/>
        <w:rPr>
          <w:lang w:val="en-US"/>
        </w:rPr>
      </w:pPr>
      <w:r>
        <w:rPr>
          <w:lang w:val="en-US"/>
        </w:rPr>
        <w:t>Conclusion</w:t>
      </w:r>
    </w:p>
    <w:p w14:paraId="470B9D9E" w14:textId="77777777" w:rsidR="004329A5" w:rsidRDefault="00543336" w:rsidP="00543336">
      <w:pPr>
        <w:pStyle w:val="BodyText"/>
        <w:rPr>
          <w:noProof/>
        </w:rPr>
      </w:pPr>
      <w:r>
        <w:t xml:space="preserve">In section </w:t>
      </w:r>
      <w:r>
        <w:fldChar w:fldCharType="begin"/>
      </w:r>
      <w:r>
        <w:instrText xml:space="preserve"> REF _Ref447111257 \r \h </w:instrText>
      </w:r>
      <w:r>
        <w:fldChar w:fldCharType="separate"/>
      </w:r>
      <w:r w:rsidR="004329A5">
        <w:t>2</w:t>
      </w:r>
      <w:r>
        <w:fldChar w:fldCharType="end"/>
      </w:r>
      <w:r>
        <w:t xml:space="preserve"> </w:t>
      </w:r>
      <w:r w:rsidRPr="00CE0424">
        <w:t xml:space="preserve">we </w:t>
      </w:r>
      <w:r>
        <w:t>made the following observations</w:t>
      </w:r>
      <w:r w:rsidRPr="00CE0424">
        <w:t>:</w:t>
      </w:r>
      <w:r w:rsidRPr="003F2C1A">
        <w:rPr>
          <w:b/>
          <w:bCs/>
          <w:highlight w:val="yellow"/>
        </w:rPr>
        <w:fldChar w:fldCharType="begin"/>
      </w:r>
      <w:r w:rsidRPr="003F2C1A">
        <w:rPr>
          <w:b/>
          <w:bCs/>
          <w:highlight w:val="yellow"/>
        </w:rPr>
        <w:instrText xml:space="preserve"> TOC \f \n \t "Observation;1" </w:instrText>
      </w:r>
      <w:r w:rsidRPr="003F2C1A">
        <w:rPr>
          <w:b/>
          <w:bCs/>
          <w:highlight w:val="yellow"/>
        </w:rPr>
        <w:fldChar w:fldCharType="separate"/>
      </w:r>
    </w:p>
    <w:p w14:paraId="23AA8F57" w14:textId="77777777" w:rsidR="004329A5" w:rsidRPr="004329A5" w:rsidRDefault="004329A5">
      <w:pPr>
        <w:pStyle w:val="TOC1"/>
        <w:rPr>
          <w:rFonts w:asciiTheme="minorHAnsi" w:eastAsiaTheme="minorEastAsia" w:hAnsiTheme="minorHAnsi" w:cstheme="minorBidi"/>
          <w:b w:val="0"/>
          <w:sz w:val="22"/>
          <w:lang w:eastAsia="fi-FI"/>
        </w:rPr>
      </w:pPr>
      <w:r>
        <w:t>Observation 1</w:t>
      </w:r>
      <w:r w:rsidRPr="004329A5">
        <w:rPr>
          <w:rFonts w:asciiTheme="minorHAnsi" w:eastAsiaTheme="minorEastAsia" w:hAnsiTheme="minorHAnsi" w:cstheme="minorBidi"/>
          <w:b w:val="0"/>
          <w:sz w:val="22"/>
          <w:lang w:eastAsia="fi-FI"/>
        </w:rPr>
        <w:tab/>
      </w:r>
      <w:r>
        <w:t>The decision to go for a flat LTE architecture was a conscious choice ensuring short time-to-market and guaranteeing a high level of future proof-ness and flexibility allowing for smart implementation.</w:t>
      </w:r>
    </w:p>
    <w:p w14:paraId="6149C762" w14:textId="77777777" w:rsidR="004329A5" w:rsidRPr="004329A5" w:rsidRDefault="004329A5">
      <w:pPr>
        <w:pStyle w:val="TOC1"/>
        <w:rPr>
          <w:rFonts w:asciiTheme="minorHAnsi" w:eastAsiaTheme="minorEastAsia" w:hAnsiTheme="minorHAnsi" w:cstheme="minorBidi"/>
          <w:b w:val="0"/>
          <w:sz w:val="22"/>
          <w:lang w:eastAsia="fi-FI"/>
        </w:rPr>
      </w:pPr>
      <w:r>
        <w:t>Observation 2</w:t>
      </w:r>
      <w:r w:rsidRPr="004329A5">
        <w:rPr>
          <w:rFonts w:asciiTheme="minorHAnsi" w:eastAsiaTheme="minorEastAsia" w:hAnsiTheme="minorHAnsi" w:cstheme="minorBidi"/>
          <w:b w:val="0"/>
          <w:sz w:val="22"/>
          <w:lang w:eastAsia="fi-FI"/>
        </w:rPr>
        <w:tab/>
      </w:r>
      <w:r>
        <w:t>Some design choices of the E-UTRA radio interface (Uu) limit the deployment flexibility and are difficult to change in a backward compatible manner.</w:t>
      </w:r>
    </w:p>
    <w:p w14:paraId="758C655C" w14:textId="77777777" w:rsidR="00543336" w:rsidRPr="003F2C1A" w:rsidRDefault="00543336" w:rsidP="00543336">
      <w:pPr>
        <w:pStyle w:val="BodyText"/>
        <w:rPr>
          <w:b/>
          <w:bCs/>
          <w:highlight w:val="yellow"/>
        </w:rPr>
      </w:pPr>
      <w:r w:rsidRPr="003F2C1A">
        <w:rPr>
          <w:b/>
          <w:bCs/>
          <w:highlight w:val="yellow"/>
        </w:rPr>
        <w:fldChar w:fldCharType="end"/>
      </w:r>
    </w:p>
    <w:p w14:paraId="29DD2D37" w14:textId="77777777" w:rsidR="004329A5" w:rsidRDefault="00543336" w:rsidP="00543336">
      <w:pPr>
        <w:pStyle w:val="BodyText"/>
        <w:rPr>
          <w:noProof/>
        </w:rPr>
      </w:pPr>
      <w:r>
        <w:t>Correspondingly, w</w:t>
      </w:r>
      <w:r w:rsidRPr="00CE0424">
        <w:t>e propose the following:</w:t>
      </w:r>
      <w:r>
        <w:rPr>
          <w:b/>
          <w:bCs/>
        </w:rPr>
        <w:fldChar w:fldCharType="begin"/>
      </w:r>
      <w:r>
        <w:rPr>
          <w:b/>
          <w:bCs/>
        </w:rPr>
        <w:instrText xml:space="preserve"> TOC \f \n \p " " \t "Proposal;1" </w:instrText>
      </w:r>
      <w:r>
        <w:rPr>
          <w:b/>
          <w:bCs/>
        </w:rPr>
        <w:fldChar w:fldCharType="separate"/>
      </w:r>
    </w:p>
    <w:p w14:paraId="251C64C2" w14:textId="77777777" w:rsidR="004329A5" w:rsidRPr="004329A5" w:rsidRDefault="004329A5">
      <w:pPr>
        <w:pStyle w:val="TOC1"/>
        <w:rPr>
          <w:rFonts w:asciiTheme="minorHAnsi" w:eastAsiaTheme="minorEastAsia" w:hAnsiTheme="minorHAnsi" w:cstheme="minorBidi"/>
          <w:b w:val="0"/>
          <w:sz w:val="22"/>
          <w:lang w:eastAsia="fi-FI"/>
        </w:rPr>
      </w:pPr>
      <w:r>
        <w:t>Proposal 1</w:t>
      </w:r>
      <w:r w:rsidRPr="004329A5">
        <w:rPr>
          <w:rFonts w:asciiTheme="minorHAnsi" w:eastAsiaTheme="minorEastAsia" w:hAnsiTheme="minorHAnsi" w:cstheme="minorBidi"/>
          <w:b w:val="0"/>
          <w:sz w:val="22"/>
          <w:lang w:eastAsia="fi-FI"/>
        </w:rPr>
        <w:tab/>
      </w:r>
      <w:r>
        <w:t>The NR radio interface should facilitate a high degree of architecture flexibility and scalability while minimizing hard timing requirements on the network side and tight coupling between different parameters and signals.</w:t>
      </w:r>
    </w:p>
    <w:p w14:paraId="4D522EC8" w14:textId="77777777" w:rsidR="004329A5" w:rsidRPr="004329A5" w:rsidRDefault="004329A5">
      <w:pPr>
        <w:pStyle w:val="TOC1"/>
        <w:rPr>
          <w:rFonts w:asciiTheme="minorHAnsi" w:eastAsiaTheme="minorEastAsia" w:hAnsiTheme="minorHAnsi" w:cstheme="minorBidi"/>
          <w:b w:val="0"/>
          <w:sz w:val="22"/>
          <w:lang w:eastAsia="fi-FI"/>
        </w:rPr>
      </w:pPr>
      <w:r>
        <w:t>Proposal 2</w:t>
      </w:r>
      <w:r w:rsidRPr="004329A5">
        <w:rPr>
          <w:rFonts w:asciiTheme="minorHAnsi" w:eastAsiaTheme="minorEastAsia" w:hAnsiTheme="minorHAnsi" w:cstheme="minorBidi"/>
          <w:b w:val="0"/>
          <w:sz w:val="22"/>
          <w:lang w:eastAsia="fi-FI"/>
        </w:rPr>
        <w:tab/>
      </w:r>
      <w:r>
        <w:t>The initial work on the New Radio interface should focus on the required radio interface functionality and not on the RAN internal splits.</w:t>
      </w:r>
    </w:p>
    <w:p w14:paraId="2F372279" w14:textId="36B8D3BB" w:rsidR="00D00AE7" w:rsidRPr="00C77776" w:rsidRDefault="00543336" w:rsidP="00D00AE7">
      <w:pPr>
        <w:rPr>
          <w:iCs/>
        </w:rPr>
      </w:pPr>
      <w:r>
        <w:rPr>
          <w:b/>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500CB8F5" w14:textId="165072D5" w:rsidR="005743A5" w:rsidRPr="00F25B19" w:rsidRDefault="009768D5" w:rsidP="009768D5">
      <w:pPr>
        <w:pStyle w:val="Reference"/>
        <w:rPr>
          <w:lang w:val="en-US"/>
        </w:rPr>
      </w:pPr>
      <w:bookmarkStart w:id="33" w:name="_Ref447031627"/>
      <w:bookmarkStart w:id="34" w:name="_Ref447104930"/>
      <w:bookmarkStart w:id="35" w:name="_Ref442441852"/>
      <w:bookmarkStart w:id="36" w:name="_Ref441562466"/>
      <w:r>
        <w:t xml:space="preserve">3GPP TR 38.913, “Study on Scenarios and Requirements for Next Generation Access Technologies”, v0.3.0, </w:t>
      </w:r>
      <w:hyperlink r:id="rId14" w:history="1">
        <w:r w:rsidRPr="00D029B7">
          <w:rPr>
            <w:rStyle w:val="Hyperlink"/>
          </w:rPr>
          <w:t>http://www.3gpp.org/DynaReport/38913.htm</w:t>
        </w:r>
      </w:hyperlink>
      <w:bookmarkEnd w:id="33"/>
      <w:bookmarkEnd w:id="34"/>
      <w:r>
        <w:t xml:space="preserve"> </w:t>
      </w:r>
      <w:bookmarkEnd w:id="35"/>
      <w:bookmarkEnd w:id="36"/>
    </w:p>
    <w:p w14:paraId="3AC63DFE" w14:textId="553B5681" w:rsidR="00F25B19" w:rsidRPr="00DF5B71" w:rsidRDefault="008F4AC5" w:rsidP="009768D5">
      <w:pPr>
        <w:pStyle w:val="Reference"/>
        <w:rPr>
          <w:lang w:val="en-US"/>
        </w:rPr>
      </w:pPr>
      <w:bookmarkStart w:id="37" w:name="_Ref447312660"/>
      <w:r>
        <w:rPr>
          <w:lang w:val="en-US"/>
        </w:rPr>
        <w:t>R2-162764</w:t>
      </w:r>
      <w:bookmarkStart w:id="38" w:name="_GoBack"/>
      <w:bookmarkEnd w:id="38"/>
      <w:r w:rsidR="00F25B19">
        <w:rPr>
          <w:lang w:val="en-US"/>
        </w:rPr>
        <w:t>, “NR network energy performance”, Ericsson</w:t>
      </w:r>
      <w:bookmarkEnd w:id="37"/>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8D81D" w14:textId="77777777" w:rsidR="00A460D8" w:rsidRDefault="00A460D8">
      <w:r>
        <w:separator/>
      </w:r>
    </w:p>
  </w:endnote>
  <w:endnote w:type="continuationSeparator" w:id="0">
    <w:p w14:paraId="5F770610" w14:textId="77777777" w:rsidR="00A460D8" w:rsidRDefault="00A460D8">
      <w:r>
        <w:continuationSeparator/>
      </w:r>
    </w:p>
  </w:endnote>
  <w:endnote w:type="continuationNotice" w:id="1">
    <w:p w14:paraId="05F8F726" w14:textId="77777777" w:rsidR="00A460D8" w:rsidRDefault="00A46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A460D8" w:rsidRDefault="00A460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4AC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4AC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2E0DE" w14:textId="77777777" w:rsidR="00A460D8" w:rsidRDefault="00A460D8">
      <w:r>
        <w:separator/>
      </w:r>
    </w:p>
  </w:footnote>
  <w:footnote w:type="continuationSeparator" w:id="0">
    <w:p w14:paraId="3D074170" w14:textId="77777777" w:rsidR="00A460D8" w:rsidRDefault="00A460D8">
      <w:r>
        <w:continuationSeparator/>
      </w:r>
    </w:p>
  </w:footnote>
  <w:footnote w:type="continuationNotice" w:id="1">
    <w:p w14:paraId="1F1E9589" w14:textId="77777777" w:rsidR="00A460D8" w:rsidRDefault="00A460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A460D8" w:rsidRDefault="00A460D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A460D8" w:rsidRDefault="00A46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4563CE"/>
    <w:multiLevelType w:val="hybridMultilevel"/>
    <w:tmpl w:val="DCF667EA"/>
    <w:lvl w:ilvl="0" w:tplc="E3E42E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7116F402"/>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1DAD70A"/>
    <w:lvl w:ilvl="0" w:tplc="74EA914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943E1A"/>
    <w:multiLevelType w:val="hybridMultilevel"/>
    <w:tmpl w:val="6F1271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4"/>
  </w:num>
  <w:num w:numId="16">
    <w:abstractNumId w:val="19"/>
  </w:num>
  <w:num w:numId="17">
    <w:abstractNumId w:val="14"/>
  </w:num>
  <w:num w:numId="18">
    <w:abstractNumId w:val="21"/>
  </w:num>
  <w:num w:numId="19">
    <w:abstractNumId w:val="22"/>
  </w:num>
  <w:num w:numId="20">
    <w:abstractNumId w:val="5"/>
  </w:num>
  <w:num w:numId="21">
    <w:abstractNumId w:val="29"/>
  </w:num>
  <w:num w:numId="22">
    <w:abstractNumId w:val="27"/>
  </w:num>
  <w:num w:numId="23">
    <w:abstractNumId w:val="6"/>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8"/>
  </w:num>
  <w:num w:numId="29">
    <w:abstractNumId w:val="31"/>
  </w:num>
  <w:num w:numId="30">
    <w:abstractNumId w:val="30"/>
  </w:num>
  <w:num w:numId="31">
    <w:abstractNumId w:val="26"/>
  </w:num>
  <w:num w:numId="32">
    <w:abstractNumId w:val="23"/>
  </w:num>
  <w:num w:numId="33">
    <w:abstractNumId w:val="8"/>
  </w:num>
  <w:num w:numId="34">
    <w:abstractNumId w:val="16"/>
  </w:num>
  <w:num w:numId="35">
    <w:abstractNumId w:val="32"/>
  </w:num>
  <w:num w:numId="36">
    <w:abstractNumId w:val="35"/>
  </w:num>
  <w:num w:numId="37">
    <w:abstractNumId w:val="34"/>
  </w:num>
  <w:num w:numId="38">
    <w:abstractNumId w:val="33"/>
  </w:num>
  <w:num w:numId="39">
    <w:abstractNumId w:val="25"/>
  </w:num>
  <w:num w:numId="40">
    <w:abstractNumId w:val="7"/>
  </w:num>
  <w:num w:numId="41">
    <w:abstractNumId w:val="20"/>
    <w:lvlOverride w:ilvl="0">
      <w:startOverride w:val="1"/>
    </w:lvlOverride>
  </w:num>
  <w:num w:numId="42">
    <w:abstractNumId w:val="12"/>
  </w:num>
  <w:num w:numId="4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26C22"/>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5CF0"/>
    <w:rsid w:val="000866F2"/>
    <w:rsid w:val="0009009F"/>
    <w:rsid w:val="00090CCA"/>
    <w:rsid w:val="00091557"/>
    <w:rsid w:val="000924C1"/>
    <w:rsid w:val="000924F0"/>
    <w:rsid w:val="00093474"/>
    <w:rsid w:val="0009510F"/>
    <w:rsid w:val="000964CD"/>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79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4D37"/>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5E2A"/>
    <w:rsid w:val="0016637B"/>
    <w:rsid w:val="00170E5C"/>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DD8"/>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381"/>
    <w:rsid w:val="0029777D"/>
    <w:rsid w:val="002A055E"/>
    <w:rsid w:val="002A1D4E"/>
    <w:rsid w:val="002A2869"/>
    <w:rsid w:val="002B0D5D"/>
    <w:rsid w:val="002B24D6"/>
    <w:rsid w:val="002C41E6"/>
    <w:rsid w:val="002C52C8"/>
    <w:rsid w:val="002C6A47"/>
    <w:rsid w:val="002D071A"/>
    <w:rsid w:val="002D34B2"/>
    <w:rsid w:val="002D3E97"/>
    <w:rsid w:val="002D5F0F"/>
    <w:rsid w:val="002D7637"/>
    <w:rsid w:val="002E17F2"/>
    <w:rsid w:val="002E1D4B"/>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247D"/>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5C71"/>
    <w:rsid w:val="003B7FE5"/>
    <w:rsid w:val="003C02FC"/>
    <w:rsid w:val="003C0D1B"/>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2F03"/>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5953"/>
    <w:rsid w:val="00427248"/>
    <w:rsid w:val="004329A5"/>
    <w:rsid w:val="00434BBE"/>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093"/>
    <w:rsid w:val="004F4DA3"/>
    <w:rsid w:val="004F6FE0"/>
    <w:rsid w:val="0050023A"/>
    <w:rsid w:val="00506557"/>
    <w:rsid w:val="0050677A"/>
    <w:rsid w:val="005108D8"/>
    <w:rsid w:val="005116F9"/>
    <w:rsid w:val="005124EF"/>
    <w:rsid w:val="005153A7"/>
    <w:rsid w:val="00517AD0"/>
    <w:rsid w:val="00520159"/>
    <w:rsid w:val="00520D36"/>
    <w:rsid w:val="005219CF"/>
    <w:rsid w:val="00527027"/>
    <w:rsid w:val="00530FD1"/>
    <w:rsid w:val="00532CBD"/>
    <w:rsid w:val="00534B59"/>
    <w:rsid w:val="00536759"/>
    <w:rsid w:val="00537C62"/>
    <w:rsid w:val="00543336"/>
    <w:rsid w:val="00546970"/>
    <w:rsid w:val="00547D9C"/>
    <w:rsid w:val="0055231F"/>
    <w:rsid w:val="00554E19"/>
    <w:rsid w:val="00555FF5"/>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080"/>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2B64"/>
    <w:rsid w:val="006741F2"/>
    <w:rsid w:val="00674CC3"/>
    <w:rsid w:val="00675C72"/>
    <w:rsid w:val="006771F9"/>
    <w:rsid w:val="006776D7"/>
    <w:rsid w:val="00681003"/>
    <w:rsid w:val="006817C9"/>
    <w:rsid w:val="00683ECE"/>
    <w:rsid w:val="00695332"/>
    <w:rsid w:val="00695FC2"/>
    <w:rsid w:val="006967F7"/>
    <w:rsid w:val="00696949"/>
    <w:rsid w:val="00697052"/>
    <w:rsid w:val="00697F1D"/>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6F6"/>
    <w:rsid w:val="006F58D4"/>
    <w:rsid w:val="007006BE"/>
    <w:rsid w:val="0070239F"/>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48E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38FE"/>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3C62"/>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1121"/>
    <w:rsid w:val="00884BB3"/>
    <w:rsid w:val="00894A88"/>
    <w:rsid w:val="00895386"/>
    <w:rsid w:val="00896419"/>
    <w:rsid w:val="008A21FF"/>
    <w:rsid w:val="008A2CE2"/>
    <w:rsid w:val="008A30AC"/>
    <w:rsid w:val="008A44B8"/>
    <w:rsid w:val="008A51A8"/>
    <w:rsid w:val="008A54C7"/>
    <w:rsid w:val="008A77D8"/>
    <w:rsid w:val="008B0483"/>
    <w:rsid w:val="008B120C"/>
    <w:rsid w:val="008B2BF6"/>
    <w:rsid w:val="008B51A0"/>
    <w:rsid w:val="008B592A"/>
    <w:rsid w:val="008B7B5C"/>
    <w:rsid w:val="008C0468"/>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72B9"/>
    <w:rsid w:val="008F1EAB"/>
    <w:rsid w:val="008F33DC"/>
    <w:rsid w:val="008F3B80"/>
    <w:rsid w:val="008F477F"/>
    <w:rsid w:val="008F4AC5"/>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84D"/>
    <w:rsid w:val="00917CE9"/>
    <w:rsid w:val="00920BF2"/>
    <w:rsid w:val="0092136C"/>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8D5"/>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68F"/>
    <w:rsid w:val="009E14E0"/>
    <w:rsid w:val="009E35DB"/>
    <w:rsid w:val="009E47A3"/>
    <w:rsid w:val="009F08F3"/>
    <w:rsid w:val="009F344F"/>
    <w:rsid w:val="009F4FA9"/>
    <w:rsid w:val="009F7EC6"/>
    <w:rsid w:val="00A0013B"/>
    <w:rsid w:val="00A048A8"/>
    <w:rsid w:val="00A04F49"/>
    <w:rsid w:val="00A07A3D"/>
    <w:rsid w:val="00A13E54"/>
    <w:rsid w:val="00A14603"/>
    <w:rsid w:val="00A17F63"/>
    <w:rsid w:val="00A20B9F"/>
    <w:rsid w:val="00A2193B"/>
    <w:rsid w:val="00A2351A"/>
    <w:rsid w:val="00A23A3B"/>
    <w:rsid w:val="00A261D4"/>
    <w:rsid w:val="00A264A9"/>
    <w:rsid w:val="00A27785"/>
    <w:rsid w:val="00A30187"/>
    <w:rsid w:val="00A31C10"/>
    <w:rsid w:val="00A3448A"/>
    <w:rsid w:val="00A34B69"/>
    <w:rsid w:val="00A36297"/>
    <w:rsid w:val="00A3793A"/>
    <w:rsid w:val="00A41E2B"/>
    <w:rsid w:val="00A45B74"/>
    <w:rsid w:val="00A460D8"/>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D6B2F"/>
    <w:rsid w:val="00AE25A8"/>
    <w:rsid w:val="00AE27AC"/>
    <w:rsid w:val="00AE40E0"/>
    <w:rsid w:val="00AE4DBA"/>
    <w:rsid w:val="00AE4F07"/>
    <w:rsid w:val="00AE7C50"/>
    <w:rsid w:val="00AF1C5D"/>
    <w:rsid w:val="00AF42D7"/>
    <w:rsid w:val="00AF70B2"/>
    <w:rsid w:val="00B006FE"/>
    <w:rsid w:val="00B007CB"/>
    <w:rsid w:val="00B02AA9"/>
    <w:rsid w:val="00B02FA3"/>
    <w:rsid w:val="00B05084"/>
    <w:rsid w:val="00B13940"/>
    <w:rsid w:val="00B157F9"/>
    <w:rsid w:val="00B16AFE"/>
    <w:rsid w:val="00B20256"/>
    <w:rsid w:val="00B20D09"/>
    <w:rsid w:val="00B222B8"/>
    <w:rsid w:val="00B247B1"/>
    <w:rsid w:val="00B2763F"/>
    <w:rsid w:val="00B27AAC"/>
    <w:rsid w:val="00B30929"/>
    <w:rsid w:val="00B372AA"/>
    <w:rsid w:val="00B40445"/>
    <w:rsid w:val="00B41888"/>
    <w:rsid w:val="00B436F4"/>
    <w:rsid w:val="00B45A52"/>
    <w:rsid w:val="00B46175"/>
    <w:rsid w:val="00B563F3"/>
    <w:rsid w:val="00B633CB"/>
    <w:rsid w:val="00B664C7"/>
    <w:rsid w:val="00B739F6"/>
    <w:rsid w:val="00B7527D"/>
    <w:rsid w:val="00B8088E"/>
    <w:rsid w:val="00B816EA"/>
    <w:rsid w:val="00B81A6C"/>
    <w:rsid w:val="00B81B0D"/>
    <w:rsid w:val="00B85DE5"/>
    <w:rsid w:val="00B90F73"/>
    <w:rsid w:val="00B92D68"/>
    <w:rsid w:val="00B92EA3"/>
    <w:rsid w:val="00B93B59"/>
    <w:rsid w:val="00B9406A"/>
    <w:rsid w:val="00B9650A"/>
    <w:rsid w:val="00BA2280"/>
    <w:rsid w:val="00BA2864"/>
    <w:rsid w:val="00BA2A08"/>
    <w:rsid w:val="00BA2CBB"/>
    <w:rsid w:val="00BA56D2"/>
    <w:rsid w:val="00BA76E0"/>
    <w:rsid w:val="00BB2A25"/>
    <w:rsid w:val="00BB4F1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52DB"/>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7DE6"/>
    <w:rsid w:val="00C9027A"/>
    <w:rsid w:val="00C9068E"/>
    <w:rsid w:val="00C93C4B"/>
    <w:rsid w:val="00C944AB"/>
    <w:rsid w:val="00C95B40"/>
    <w:rsid w:val="00CA1ED8"/>
    <w:rsid w:val="00CA3627"/>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05556"/>
    <w:rsid w:val="00D10249"/>
    <w:rsid w:val="00D115C3"/>
    <w:rsid w:val="00D11897"/>
    <w:rsid w:val="00D13135"/>
    <w:rsid w:val="00D13E4E"/>
    <w:rsid w:val="00D20493"/>
    <w:rsid w:val="00D239A7"/>
    <w:rsid w:val="00D23F47"/>
    <w:rsid w:val="00D32A9B"/>
    <w:rsid w:val="00D360B8"/>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67EDA"/>
    <w:rsid w:val="00D708B0"/>
    <w:rsid w:val="00D75D32"/>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4BBC"/>
    <w:rsid w:val="00DB6176"/>
    <w:rsid w:val="00DC1C50"/>
    <w:rsid w:val="00DC2D36"/>
    <w:rsid w:val="00DC53EF"/>
    <w:rsid w:val="00DD6051"/>
    <w:rsid w:val="00DD6BE3"/>
    <w:rsid w:val="00DD6CA7"/>
    <w:rsid w:val="00DE3BDB"/>
    <w:rsid w:val="00DE4FDE"/>
    <w:rsid w:val="00DE5608"/>
    <w:rsid w:val="00DE58D0"/>
    <w:rsid w:val="00DE654F"/>
    <w:rsid w:val="00DF0B6E"/>
    <w:rsid w:val="00DF15E0"/>
    <w:rsid w:val="00DF37A0"/>
    <w:rsid w:val="00DF5B71"/>
    <w:rsid w:val="00DF7229"/>
    <w:rsid w:val="00E00660"/>
    <w:rsid w:val="00E00BE1"/>
    <w:rsid w:val="00E03DCE"/>
    <w:rsid w:val="00E040A4"/>
    <w:rsid w:val="00E072E4"/>
    <w:rsid w:val="00E07842"/>
    <w:rsid w:val="00E110E7"/>
    <w:rsid w:val="00E11B20"/>
    <w:rsid w:val="00E14C07"/>
    <w:rsid w:val="00E15FF9"/>
    <w:rsid w:val="00E17FA2"/>
    <w:rsid w:val="00E22330"/>
    <w:rsid w:val="00E22858"/>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69EA"/>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5D4B"/>
    <w:rsid w:val="00ED7D94"/>
    <w:rsid w:val="00EF18FE"/>
    <w:rsid w:val="00EF2167"/>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09E0"/>
    <w:rsid w:val="00F21492"/>
    <w:rsid w:val="00F2376F"/>
    <w:rsid w:val="00F243D8"/>
    <w:rsid w:val="00F2556B"/>
    <w:rsid w:val="00F25B19"/>
    <w:rsid w:val="00F25D8A"/>
    <w:rsid w:val="00F262AD"/>
    <w:rsid w:val="00F26CF7"/>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9F1"/>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1470"/>
    <w:rsid w:val="00FA2BB3"/>
    <w:rsid w:val="00FB216B"/>
    <w:rsid w:val="00FB3B05"/>
    <w:rsid w:val="00FB3F9F"/>
    <w:rsid w:val="00FB400A"/>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A34B69"/>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42"/>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4093"/>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A34B69"/>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42"/>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409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DynaReport/3891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SAQRZK7RPU5V-1-920</_dlc_DocId>
    <_dlc_DocIdUrl xmlns="08b2df90-05d3-4030-90d4-c9feeb4a1cd9">
      <Url>https://ericoll.internal.ericsson.com/sites/NSA/_layouts/DocIdRedir.aspx?ID=SAQRZK7RPU5V-1-920</Url>
      <Description>SAQRZK7RPU5V-1-920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file>

<file path=customXml/itemProps2.xml><?xml version="1.0" encoding="utf-8"?>
<ds:datastoreItem xmlns:ds="http://schemas.openxmlformats.org/officeDocument/2006/customXml" ds:itemID="{BB42295B-94A0-40A6-B799-31483A28F8CD}"/>
</file>

<file path=customXml/itemProps3.xml><?xml version="1.0" encoding="utf-8"?>
<ds:datastoreItem xmlns:ds="http://schemas.openxmlformats.org/officeDocument/2006/customXml" ds:itemID="{EB97098B-97A8-47C7-9689-47799A1FBB94}"/>
</file>

<file path=customXml/itemProps4.xml><?xml version="1.0" encoding="utf-8"?>
<ds:datastoreItem xmlns:ds="http://schemas.openxmlformats.org/officeDocument/2006/customXml" ds:itemID="{D23EDC9F-4776-4D98-9331-AD8870A54FF9}"/>
</file>

<file path=customXml/itemProps5.xml><?xml version="1.0" encoding="utf-8"?>
<ds:datastoreItem xmlns:ds="http://schemas.openxmlformats.org/officeDocument/2006/customXml" ds:itemID="{D7FB70D0-C818-4A6E-A54E-E32D7FC4A382}"/>
</file>

<file path=customXml/itemProps6.xml><?xml version="1.0" encoding="utf-8"?>
<ds:datastoreItem xmlns:ds="http://schemas.openxmlformats.org/officeDocument/2006/customXml" ds:itemID="{12356165-812F-424B-A369-0532B86E240E}"/>
</file>

<file path=docProps/app.xml><?xml version="1.0" encoding="utf-8"?>
<Properties xmlns="http://schemas.openxmlformats.org/officeDocument/2006/extended-properties" xmlns:vt="http://schemas.openxmlformats.org/officeDocument/2006/docPropsVTypes">
  <Template>Ry-xxxxxx Contribution Template</Template>
  <TotalTime>1403</TotalTime>
  <Pages>3</Pages>
  <Words>1098</Words>
  <Characters>8902</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22</cp:revision>
  <cp:lastPrinted>2016-01-26T08:44:00Z</cp:lastPrinted>
  <dcterms:created xsi:type="dcterms:W3CDTF">2016-02-29T08:18:00Z</dcterms:created>
  <dcterms:modified xsi:type="dcterms:W3CDTF">2016-04-01T19:41:00Z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566678e2-779e-41b4-b5ad-dcb66eb6d1a6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